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08:00-20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7805DC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DC">
              <w:rPr>
                <w:rFonts w:ascii="Times New Roman" w:hAnsi="Times New Roman" w:cs="Times New Roman"/>
                <w:sz w:val="24"/>
                <w:szCs w:val="24"/>
              </w:rPr>
              <w:t>871,7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7805DC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016C6" w:rsidRPr="008016C6" w:rsidTr="007805DC">
        <w:trPr>
          <w:trHeight w:val="357"/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7805DC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8164D5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D356A5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8164D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8164D5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21,62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386"/>
        <w:gridCol w:w="1276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7D75F3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9048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248A" w:rsidRPr="00AD16C8" w:rsidTr="007D75F3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3F58A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4 294,98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 790,05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7 288,15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8 778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lastRenderedPageBreak/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672 660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721 641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167 263,28</w:t>
            </w:r>
          </w:p>
          <w:p w:rsidR="007805DC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4,83</w:t>
            </w:r>
          </w:p>
          <w:p w:rsidR="007805DC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34647,342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4 426,34</w:t>
            </w: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97 245,54</w:t>
            </w: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7805D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75 081,44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63 134,88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231 006,14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58 483,81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635,84</w:t>
            </w: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24 999,57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</w:t>
            </w:r>
            <w:proofErr w:type="gramStart"/>
            <w:r w:rsidRPr="008016C6">
              <w:rPr>
                <w:color w:val="000000" w:themeColor="text1"/>
              </w:rPr>
              <w:t>)р</w:t>
            </w:r>
            <w:proofErr w:type="gramEnd"/>
            <w:r w:rsidRPr="008016C6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</w:t>
            </w:r>
            <w:proofErr w:type="gramStart"/>
            <w:r w:rsidR="00F84E4F" w:rsidRPr="008016C6">
              <w:rPr>
                <w:color w:val="000000" w:themeColor="text1"/>
              </w:rPr>
              <w:t>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</w:t>
            </w:r>
            <w:proofErr w:type="gramStart"/>
            <w:r w:rsidR="00F84E4F" w:rsidRPr="008016C6"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>и</w:t>
            </w:r>
            <w:proofErr w:type="gramEnd"/>
            <w:r w:rsidRPr="008016C6">
              <w:rPr>
                <w:color w:val="000000" w:themeColor="text1"/>
              </w:rPr>
              <w:t>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60 168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- 48 981</w:t>
            </w: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42 892</w:t>
            </w: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</w:t>
            </w:r>
            <w:proofErr w:type="gramStart"/>
            <w:r w:rsidRPr="008016C6">
              <w:rPr>
                <w:color w:val="000000" w:themeColor="text1"/>
              </w:rPr>
              <w:t>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9 054</w:t>
            </w: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32 480,23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21,26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3,98</w:t>
            </w: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12 458</w:t>
            </w:r>
          </w:p>
        </w:tc>
      </w:tr>
      <w:tr w:rsidR="002B4F5C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2 702</w:t>
            </w:r>
          </w:p>
        </w:tc>
      </w:tr>
      <w:tr w:rsidR="002B4F5C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2 702</w:t>
            </w:r>
          </w:p>
        </w:tc>
      </w:tr>
      <w:tr w:rsidR="002B4F5C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1 616</w:t>
            </w:r>
          </w:p>
        </w:tc>
      </w:tr>
      <w:tr w:rsidR="002B4F5C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</w:t>
            </w:r>
          </w:p>
        </w:tc>
      </w:tr>
      <w:tr w:rsidR="002B4F5C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</w:t>
            </w:r>
          </w:p>
        </w:tc>
      </w:tr>
      <w:tr w:rsidR="002B4F5C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2 719</w:t>
            </w:r>
          </w:p>
        </w:tc>
      </w:tr>
      <w:tr w:rsidR="002B4F5C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2B4F5C" w:rsidRPr="008016C6" w:rsidRDefault="002B4F5C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 колиформные бактерии</w:t>
            </w:r>
          </w:p>
        </w:tc>
        <w:tc>
          <w:tcPr>
            <w:tcW w:w="2126" w:type="dxa"/>
            <w:vAlign w:val="center"/>
          </w:tcPr>
          <w:p w:rsidR="002B4F5C" w:rsidRPr="008016C6" w:rsidRDefault="002B4F5C" w:rsidP="00B31E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2 719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2B4F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9F19AB">
              <w:rPr>
                <w:color w:val="000000" w:themeColor="text1"/>
              </w:rPr>
              <w:t>1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BF52E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Строительство водовода от мкр. </w:t>
            </w:r>
            <w:proofErr w:type="gramStart"/>
            <w:r>
              <w:rPr>
                <w:color w:val="000000" w:themeColor="text1"/>
              </w:rPr>
              <w:t>Львовский</w:t>
            </w:r>
            <w:proofErr w:type="gramEnd"/>
            <w:r>
              <w:rPr>
                <w:color w:val="000000" w:themeColor="text1"/>
              </w:rPr>
              <w:t xml:space="preserve"> до водопроводной сети пос. Романцево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23 346,66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9F19AB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BF52ED" w:rsidRDefault="00BF52E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Проектирование и строительство водоводов</w:t>
            </w:r>
            <w:proofErr w:type="gramStart"/>
            <w:r>
              <w:rPr>
                <w:color w:val="000000" w:themeColor="text1"/>
              </w:rPr>
              <w:t xml:space="preserve"> Д</w:t>
            </w:r>
            <w:proofErr w:type="gramEnd"/>
            <w:r>
              <w:rPr>
                <w:color w:val="000000" w:themeColor="text1"/>
              </w:rPr>
              <w:t xml:space="preserve">=160 мм, 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 xml:space="preserve">= 1447,0 м и Д=110 мм, </w:t>
            </w:r>
            <w:r>
              <w:rPr>
                <w:color w:val="000000" w:themeColor="text1"/>
                <w:lang w:val="en-US"/>
              </w:rPr>
              <w:t>L</w:t>
            </w:r>
            <w:r w:rsidRPr="00BF52ED">
              <w:rPr>
                <w:color w:val="000000" w:themeColor="text1"/>
              </w:rPr>
              <w:t>=1056</w:t>
            </w:r>
            <w:r>
              <w:rPr>
                <w:color w:val="000000" w:themeColor="text1"/>
              </w:rPr>
              <w:t>,5 м до с. Покров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24 623,96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9F19AB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BF52ED" w:rsidRDefault="002B4F5C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3. </w:t>
            </w:r>
            <w:r w:rsidR="00BF52ED">
              <w:rPr>
                <w:color w:val="000000" w:themeColor="text1"/>
              </w:rPr>
              <w:t xml:space="preserve">Мероприятия по оснащению многоквартирных жилых домов общедомовыми приборами учёта воды на базе технологии </w:t>
            </w:r>
            <w:r w:rsidR="00BF52ED">
              <w:rPr>
                <w:color w:val="000000" w:themeColor="text1"/>
                <w:lang w:val="en-US"/>
              </w:rPr>
              <w:t>NB</w:t>
            </w:r>
            <w:r w:rsidR="00BF52ED" w:rsidRPr="00BF52ED">
              <w:rPr>
                <w:color w:val="000000" w:themeColor="text1"/>
              </w:rPr>
              <w:t>-</w:t>
            </w:r>
            <w:r w:rsidR="00BF52ED">
              <w:rPr>
                <w:color w:val="000000" w:themeColor="text1"/>
                <w:lang w:val="en-US"/>
              </w:rPr>
              <w:t>NI</w:t>
            </w:r>
            <w:r w:rsidR="00BF52ED">
              <w:rPr>
                <w:color w:val="000000" w:themeColor="text1"/>
              </w:rPr>
              <w:t xml:space="preserve"> биллинговой системы на основе 1С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212BAC">
        <w:tc>
          <w:tcPr>
            <w:tcW w:w="1418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5103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0D1C51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0D1C51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3,10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="006D05D4" w:rsidRPr="008016C6">
              <w:rPr>
                <w:color w:val="000000" w:themeColor="text1"/>
              </w:rPr>
              <w:t>,</w:t>
            </w:r>
            <w:r w:rsidR="00212BA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6D05D4" w:rsidRPr="008016C6">
              <w:rPr>
                <w:color w:val="000000" w:themeColor="text1"/>
              </w:rPr>
              <w:t>ед</w:t>
            </w:r>
            <w:proofErr w:type="spellEnd"/>
            <w:proofErr w:type="gram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0D1C51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86C6F">
              <w:rPr>
                <w:color w:val="000000" w:themeColor="text1"/>
              </w:rPr>
              <w:t>,14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1E380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15,90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0D1C51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0,43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0D1C51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0,29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B4F5C" w:rsidRPr="008016C6" w:rsidTr="008016C6">
        <w:tc>
          <w:tcPr>
            <w:tcW w:w="567" w:type="dxa"/>
            <w:shd w:val="clear" w:color="auto" w:fill="auto"/>
            <w:vAlign w:val="center"/>
          </w:tcPr>
          <w:p w:rsidR="002B4F5C" w:rsidRPr="008016C6" w:rsidRDefault="000D1C51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4F5C" w:rsidRPr="008016C6" w:rsidRDefault="002B4F5C" w:rsidP="00B31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Строительство водовода от мкр. </w:t>
            </w:r>
            <w:proofErr w:type="gramStart"/>
            <w:r>
              <w:rPr>
                <w:color w:val="000000" w:themeColor="text1"/>
              </w:rPr>
              <w:t>Львовский</w:t>
            </w:r>
            <w:proofErr w:type="gramEnd"/>
            <w:r>
              <w:rPr>
                <w:color w:val="000000" w:themeColor="text1"/>
              </w:rPr>
              <w:t xml:space="preserve"> до водопроводной сети пос. Романцево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F5C" w:rsidRPr="008016C6" w:rsidRDefault="002B4F5C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7 701,78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4F5C" w:rsidRPr="008016C6" w:rsidRDefault="000D1C51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2B4F5C" w:rsidRPr="008016C6" w:rsidTr="008016C6">
        <w:tc>
          <w:tcPr>
            <w:tcW w:w="567" w:type="dxa"/>
            <w:shd w:val="clear" w:color="auto" w:fill="auto"/>
            <w:vAlign w:val="center"/>
          </w:tcPr>
          <w:p w:rsidR="002B4F5C" w:rsidRPr="008016C6" w:rsidRDefault="000D1C51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4F5C" w:rsidRPr="00BF52ED" w:rsidRDefault="002B4F5C" w:rsidP="00B31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Проектирование и строительство водоводов</w:t>
            </w:r>
            <w:proofErr w:type="gramStart"/>
            <w:r>
              <w:rPr>
                <w:color w:val="000000" w:themeColor="text1"/>
              </w:rPr>
              <w:t xml:space="preserve"> Д</w:t>
            </w:r>
            <w:proofErr w:type="gramEnd"/>
            <w:r>
              <w:rPr>
                <w:color w:val="000000" w:themeColor="text1"/>
              </w:rPr>
              <w:t xml:space="preserve">=160 мм, 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 xml:space="preserve">= 1447,0 м и Д=110 мм, </w:t>
            </w:r>
            <w:r>
              <w:rPr>
                <w:color w:val="000000" w:themeColor="text1"/>
                <w:lang w:val="en-US"/>
              </w:rPr>
              <w:t>L</w:t>
            </w:r>
            <w:r w:rsidRPr="00BF52ED">
              <w:rPr>
                <w:color w:val="000000" w:themeColor="text1"/>
              </w:rPr>
              <w:t>=1056</w:t>
            </w:r>
            <w:r>
              <w:rPr>
                <w:color w:val="000000" w:themeColor="text1"/>
              </w:rPr>
              <w:t>,5 м до с. Покров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F5C" w:rsidRPr="008016C6" w:rsidRDefault="002B4F5C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25 779,16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2B4F5C" w:rsidRPr="008016C6" w:rsidRDefault="002B4F5C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B4F5C" w:rsidRPr="008016C6" w:rsidTr="008016C6">
        <w:tc>
          <w:tcPr>
            <w:tcW w:w="567" w:type="dxa"/>
            <w:shd w:val="clear" w:color="auto" w:fill="auto"/>
            <w:vAlign w:val="center"/>
          </w:tcPr>
          <w:p w:rsidR="002B4F5C" w:rsidRPr="008016C6" w:rsidRDefault="000D1C51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4F5C" w:rsidRPr="00BF52ED" w:rsidRDefault="002B4F5C" w:rsidP="00B31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Мероприятия по оснащению многоквартирных жилых домов общедомовыми приборами учёта воды на базе технологии </w:t>
            </w:r>
            <w:r>
              <w:rPr>
                <w:color w:val="000000" w:themeColor="text1"/>
                <w:lang w:val="en-US"/>
              </w:rPr>
              <w:t>NB</w:t>
            </w:r>
            <w:r w:rsidRPr="00BF52ED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NI</w:t>
            </w:r>
            <w:r>
              <w:rPr>
                <w:color w:val="000000" w:themeColor="text1"/>
              </w:rPr>
              <w:t xml:space="preserve"> биллинговой системы на основе 1С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F5C" w:rsidRPr="008016C6" w:rsidRDefault="002B4F5C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1 017,06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2B4F5C" w:rsidRPr="008016C6" w:rsidRDefault="002B4F5C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E380B">
        <w:tc>
          <w:tcPr>
            <w:tcW w:w="1843" w:type="dxa"/>
            <w:vAlign w:val="center"/>
          </w:tcPr>
          <w:p w:rsidR="00B16045" w:rsidRPr="001E380B" w:rsidRDefault="001E380B" w:rsidP="001E3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19.11.2021</w:t>
            </w:r>
          </w:p>
        </w:tc>
        <w:tc>
          <w:tcPr>
            <w:tcW w:w="7938" w:type="dxa"/>
            <w:vAlign w:val="center"/>
          </w:tcPr>
          <w:p w:rsidR="00B16045" w:rsidRPr="001E380B" w:rsidRDefault="001E380B" w:rsidP="001E380B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Внесены распоряжением Министерства энергетики Московской области № 334-р</w:t>
            </w:r>
          </w:p>
        </w:tc>
      </w:tr>
    </w:tbl>
    <w:p w:rsidR="00B16045" w:rsidRPr="001E380B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F13F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1 880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C53A0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1 485</w:t>
            </w:r>
          </w:p>
        </w:tc>
        <w:tc>
          <w:tcPr>
            <w:tcW w:w="964" w:type="dxa"/>
            <w:vAlign w:val="center"/>
          </w:tcPr>
          <w:p w:rsidR="00C44EFE" w:rsidRPr="00C53A08" w:rsidRDefault="00C53A0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777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  <w:tc>
          <w:tcPr>
            <w:tcW w:w="964" w:type="dxa"/>
            <w:vAlign w:val="center"/>
          </w:tcPr>
          <w:p w:rsidR="00C44EFE" w:rsidRPr="008016C6" w:rsidRDefault="005A122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5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1E380B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6045" w:rsidRPr="008016C6" w:rsidRDefault="00986C6F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индексация</w:t>
            </w:r>
          </w:p>
        </w:tc>
      </w:tr>
      <w:tr w:rsidR="001E380B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1E380B" w:rsidRPr="008016C6" w:rsidRDefault="001E380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80B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80B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25,78</w:t>
            </w:r>
          </w:p>
        </w:tc>
      </w:tr>
      <w:tr w:rsidR="001E380B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1E380B" w:rsidRPr="008016C6" w:rsidRDefault="001E380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80B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 по 30.06.2022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80B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01.07.2022 по 31.12.2022</w:t>
            </w: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6045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656 690,6</w:t>
            </w:r>
          </w:p>
        </w:tc>
      </w:tr>
      <w:tr w:rsidR="008016C6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6045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31 050,3</w:t>
            </w:r>
          </w:p>
        </w:tc>
      </w:tr>
      <w:tr w:rsidR="008016C6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6045" w:rsidRPr="008016C6" w:rsidRDefault="00B16045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1E380B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6045" w:rsidRPr="008016C6" w:rsidRDefault="001E380B" w:rsidP="001E38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45211"/>
    <w:rsid w:val="000567F6"/>
    <w:rsid w:val="000573F4"/>
    <w:rsid w:val="00062168"/>
    <w:rsid w:val="00067632"/>
    <w:rsid w:val="000A477B"/>
    <w:rsid w:val="000B6FA1"/>
    <w:rsid w:val="000B7DDC"/>
    <w:rsid w:val="000D1C51"/>
    <w:rsid w:val="000D3548"/>
    <w:rsid w:val="000E161F"/>
    <w:rsid w:val="000F280E"/>
    <w:rsid w:val="00101CCE"/>
    <w:rsid w:val="001243F4"/>
    <w:rsid w:val="00176A0E"/>
    <w:rsid w:val="001862C2"/>
    <w:rsid w:val="00187775"/>
    <w:rsid w:val="001B7967"/>
    <w:rsid w:val="001B79F9"/>
    <w:rsid w:val="001E128E"/>
    <w:rsid w:val="001E380B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A58CD"/>
    <w:rsid w:val="002B4F5C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B6B4E"/>
    <w:rsid w:val="003C0AE9"/>
    <w:rsid w:val="003D154F"/>
    <w:rsid w:val="003D5A4D"/>
    <w:rsid w:val="003E3FB3"/>
    <w:rsid w:val="003F38DA"/>
    <w:rsid w:val="003F523B"/>
    <w:rsid w:val="003F58AA"/>
    <w:rsid w:val="00404159"/>
    <w:rsid w:val="00416D31"/>
    <w:rsid w:val="004212F5"/>
    <w:rsid w:val="00451280"/>
    <w:rsid w:val="00466193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A122B"/>
    <w:rsid w:val="005B4593"/>
    <w:rsid w:val="005E7FAC"/>
    <w:rsid w:val="0060513F"/>
    <w:rsid w:val="00615E55"/>
    <w:rsid w:val="0063787F"/>
    <w:rsid w:val="00650619"/>
    <w:rsid w:val="006808C9"/>
    <w:rsid w:val="0068794E"/>
    <w:rsid w:val="00697FCA"/>
    <w:rsid w:val="006A2182"/>
    <w:rsid w:val="006D05D4"/>
    <w:rsid w:val="006D4C86"/>
    <w:rsid w:val="006E325F"/>
    <w:rsid w:val="006E6D26"/>
    <w:rsid w:val="006F338C"/>
    <w:rsid w:val="006F5D8D"/>
    <w:rsid w:val="00735953"/>
    <w:rsid w:val="007805DC"/>
    <w:rsid w:val="00790483"/>
    <w:rsid w:val="007A2EBE"/>
    <w:rsid w:val="007B7845"/>
    <w:rsid w:val="007D111E"/>
    <w:rsid w:val="007D61CF"/>
    <w:rsid w:val="007D75F3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22E14"/>
    <w:rsid w:val="0093074B"/>
    <w:rsid w:val="00971628"/>
    <w:rsid w:val="00977DC7"/>
    <w:rsid w:val="0098368B"/>
    <w:rsid w:val="00986C6F"/>
    <w:rsid w:val="009B2B72"/>
    <w:rsid w:val="009C3763"/>
    <w:rsid w:val="009C7232"/>
    <w:rsid w:val="009E2F27"/>
    <w:rsid w:val="009F19AB"/>
    <w:rsid w:val="00A0668B"/>
    <w:rsid w:val="00A24F04"/>
    <w:rsid w:val="00A32277"/>
    <w:rsid w:val="00A37066"/>
    <w:rsid w:val="00A40F72"/>
    <w:rsid w:val="00A5782E"/>
    <w:rsid w:val="00A6565C"/>
    <w:rsid w:val="00A65CC7"/>
    <w:rsid w:val="00A87267"/>
    <w:rsid w:val="00AA6604"/>
    <w:rsid w:val="00AB1606"/>
    <w:rsid w:val="00B114CE"/>
    <w:rsid w:val="00B12CF3"/>
    <w:rsid w:val="00B14A71"/>
    <w:rsid w:val="00B16045"/>
    <w:rsid w:val="00B57BE5"/>
    <w:rsid w:val="00B57DD9"/>
    <w:rsid w:val="00B6466F"/>
    <w:rsid w:val="00B669B8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52ED"/>
    <w:rsid w:val="00C13DA7"/>
    <w:rsid w:val="00C41C48"/>
    <w:rsid w:val="00C44EFE"/>
    <w:rsid w:val="00C53A08"/>
    <w:rsid w:val="00C7087C"/>
    <w:rsid w:val="00CB6265"/>
    <w:rsid w:val="00D10435"/>
    <w:rsid w:val="00D13057"/>
    <w:rsid w:val="00D16A62"/>
    <w:rsid w:val="00D2213C"/>
    <w:rsid w:val="00D223FB"/>
    <w:rsid w:val="00D31444"/>
    <w:rsid w:val="00D356A5"/>
    <w:rsid w:val="00D465D1"/>
    <w:rsid w:val="00D50624"/>
    <w:rsid w:val="00D60D12"/>
    <w:rsid w:val="00D808E2"/>
    <w:rsid w:val="00DB1DBB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326D"/>
    <w:rsid w:val="00EC66B2"/>
    <w:rsid w:val="00EE7995"/>
    <w:rsid w:val="00F11C4C"/>
    <w:rsid w:val="00F371E9"/>
    <w:rsid w:val="00F4169A"/>
    <w:rsid w:val="00F43CED"/>
    <w:rsid w:val="00F4706C"/>
    <w:rsid w:val="00F637A8"/>
    <w:rsid w:val="00F77971"/>
    <w:rsid w:val="00F84E4F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8988-7E7B-4E17-93AC-488F9561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6</cp:revision>
  <cp:lastPrinted>2016-04-12T13:22:00Z</cp:lastPrinted>
  <dcterms:created xsi:type="dcterms:W3CDTF">2022-04-29T08:04:00Z</dcterms:created>
  <dcterms:modified xsi:type="dcterms:W3CDTF">2022-05-11T13:36:00Z</dcterms:modified>
</cp:coreProperties>
</file>