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8D7B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Битиев Алексей Валерьевич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7D6C0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7D3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31,73</w:t>
            </w:r>
          </w:p>
        </w:tc>
      </w:tr>
      <w:tr w:rsidR="00A30986" w:rsidRPr="008016C6" w:rsidTr="0076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18/24</w:t>
            </w:r>
          </w:p>
        </w:tc>
      </w:tr>
      <w:tr w:rsidR="00A30986" w:rsidRPr="008016C6" w:rsidTr="0077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35,38</w:t>
            </w:r>
          </w:p>
        </w:tc>
      </w:tr>
      <w:tr w:rsidR="00A30986" w:rsidRPr="008016C6" w:rsidTr="0057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2.6. Информация о</w:t>
      </w:r>
      <w:r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8D7B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3,09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8D7B64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6 556,79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7 200,19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7 748,53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8 961,55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10 536,53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12 517,21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7.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з</w:t>
            </w:r>
            <w:proofErr w:type="spellEnd"/>
            <w:r w:rsidRPr="008016C6">
              <w:rPr>
                <w:color w:val="000000" w:themeColor="text1"/>
              </w:rPr>
              <w:t xml:space="preserve">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л)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организации</w:t>
            </w:r>
            <w:r w:rsidR="000424D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эксплуатации)),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сооружения</w:t>
            </w:r>
            <w:r w:rsidR="000424D6">
              <w:rPr>
                <w:color w:val="000000" w:themeColor="text1"/>
              </w:rPr>
              <w:t xml:space="preserve"> </w:t>
            </w:r>
            <w:r w:rsidR="00187775" w:rsidRPr="008016C6">
              <w:rPr>
                <w:color w:val="000000" w:themeColor="text1"/>
              </w:rPr>
              <w:t xml:space="preserve">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8. Информация об основных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потребительских характеристиках</w:t>
      </w:r>
      <w:r w:rsidR="00D346A0">
        <w:rPr>
          <w:b/>
          <w:color w:val="000000" w:themeColor="text1"/>
        </w:rPr>
        <w:t xml:space="preserve"> 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81324F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lastRenderedPageBreak/>
        <w:t>9. Информация об инвестиционных</w:t>
      </w:r>
      <w:r w:rsidR="00067632" w:rsidRPr="008016C6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503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5C3BB7">
              <w:rPr>
                <w:color w:val="000000" w:themeColor="text1"/>
              </w:rPr>
              <w:t>5</w:t>
            </w:r>
            <w:r w:rsidR="00CA15EE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0A6AE3" w:rsidRDefault="000A6AE3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127 490,37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40785F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245"/>
        <w:gridCol w:w="1985"/>
        <w:gridCol w:w="1984"/>
      </w:tblGrid>
      <w:tr w:rsidR="008016C6" w:rsidRPr="008016C6" w:rsidTr="001B7967">
        <w:tc>
          <w:tcPr>
            <w:tcW w:w="567" w:type="dxa"/>
            <w:vAlign w:val="center"/>
          </w:tcPr>
          <w:p w:rsidR="00B16045" w:rsidRPr="008016C6" w:rsidRDefault="0068794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spellStart"/>
            <w:proofErr w:type="gramStart"/>
            <w:r w:rsidR="00EA5080" w:rsidRPr="008016C6">
              <w:rPr>
                <w:color w:val="000000" w:themeColor="text1"/>
              </w:rPr>
              <w:t>п</w:t>
            </w:r>
            <w:proofErr w:type="spellEnd"/>
            <w:proofErr w:type="gramEnd"/>
            <w:r w:rsidR="00EA5080" w:rsidRPr="008016C6">
              <w:rPr>
                <w:color w:val="000000" w:themeColor="text1"/>
              </w:rPr>
              <w:t>/</w:t>
            </w:r>
            <w:proofErr w:type="spellStart"/>
            <w:r w:rsidRPr="008016C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(бурение) проектных скважин 31п, 39п, 81а в одной зоне санитарной охраны с существующими скважинами 31, 39, 81 по адресам: вблизи д. Акишово; д. Кутьино; Подольск, Лемешовский проезд, у д. 7а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Строительство (бурение) проектных скважин 10/1, 10а/1, 10б/1, 11а в одной зоне санитарной охраны с существующими скважинами 10, 10а, 10б и 11 вблизи д. Кутьино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Проектирование и строительство блока водоподготовки на территории НС «Лучинское» Q=1000 м3/</w:t>
            </w:r>
            <w:proofErr w:type="spellStart"/>
            <w:r>
              <w:rPr>
                <w:color w:val="000000"/>
                <w:kern w:val="24"/>
              </w:rPr>
              <w:t>сут</w:t>
            </w:r>
            <w:proofErr w:type="spellEnd"/>
            <w:r>
              <w:rPr>
                <w:color w:val="000000"/>
                <w:kern w:val="24"/>
              </w:rPr>
              <w:t xml:space="preserve">. по адресу: Г.о. Подольск, вблизи д. Лучинское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водовода</w:t>
            </w:r>
            <w:proofErr w:type="gramStart"/>
            <w:r>
              <w:rPr>
                <w:color w:val="000000"/>
                <w:kern w:val="24"/>
              </w:rPr>
              <w:t xml:space="preserve"> Д</w:t>
            </w:r>
            <w:proofErr w:type="gramEnd"/>
            <w:r>
              <w:rPr>
                <w:color w:val="000000"/>
                <w:kern w:val="24"/>
              </w:rPr>
              <w:t xml:space="preserve">=315 мм, L=1860 п.м. от ВК №1260с до ВК №1640с вблизи ВНС Гулево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централизованной системы водоснабжения по ул. Климовская, Д=160 мм, L=303м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>
              <w:rPr>
                <w:color w:val="000000"/>
                <w:kern w:val="24"/>
              </w:rPr>
              <w:t>сут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Строительство встроенной газовой котельной для нужд водопроводных сооружений Деснинского ВЗУ по адресу: </w:t>
            </w:r>
            <w:proofErr w:type="gramStart"/>
            <w:r>
              <w:rPr>
                <w:color w:val="000000"/>
                <w:kern w:val="24"/>
              </w:rPr>
              <w:t>г</w:t>
            </w:r>
            <w:proofErr w:type="gramEnd"/>
            <w:r>
              <w:rPr>
                <w:color w:val="000000"/>
                <w:kern w:val="24"/>
              </w:rPr>
              <w:t xml:space="preserve">. Москва, </w:t>
            </w:r>
            <w:r>
              <w:rPr>
                <w:color w:val="000000"/>
                <w:kern w:val="24"/>
              </w:rPr>
              <w:lastRenderedPageBreak/>
              <w:t>Рязановское поселение, вблизи д. Армазово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311713" w:rsidRPr="0040785F" w:rsidTr="00311713">
        <w:tc>
          <w:tcPr>
            <w:tcW w:w="567" w:type="dxa"/>
            <w:shd w:val="clear" w:color="auto" w:fill="auto"/>
            <w:vAlign w:val="center"/>
          </w:tcPr>
          <w:p w:rsidR="00311713" w:rsidRPr="0040785F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311713" w:rsidRPr="0040785F" w:rsidRDefault="00311713" w:rsidP="00311713">
            <w:pPr>
              <w:jc w:val="right"/>
            </w:pPr>
            <w:r w:rsidRPr="0040785F"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1713" w:rsidRPr="0040785F" w:rsidRDefault="00311713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1713" w:rsidRPr="0040785F" w:rsidRDefault="00311713" w:rsidP="00311713">
            <w:pPr>
              <w:jc w:val="center"/>
              <w:rPr>
                <w:color w:val="000000" w:themeColor="text1"/>
              </w:rPr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101CCE">
        <w:tc>
          <w:tcPr>
            <w:tcW w:w="1843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lang w:val="en-US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B015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11.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D808E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2" w:rsidRPr="008016C6" w:rsidRDefault="0006763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Pr="008016C6">
              <w:rPr>
                <w:color w:val="000000" w:themeColor="text1"/>
              </w:rPr>
              <w:t xml:space="preserve"> на сайте:</w:t>
            </w:r>
          </w:p>
          <w:p w:rsidR="00B16045" w:rsidRPr="008016C6" w:rsidRDefault="0087028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</w:t>
            </w:r>
            <w:r w:rsidRPr="008016C6">
              <w:rPr>
                <w:color w:val="000000" w:themeColor="text1"/>
              </w:rPr>
              <w:lastRenderedPageBreak/>
              <w:t>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2E7B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 xml:space="preserve">Правила холодного водоснабжения и водоотведения, утверждённые Постановлением Правительства РФ от </w:t>
            </w:r>
            <w:r>
              <w:rPr>
                <w:color w:val="000000" w:themeColor="text1"/>
              </w:rPr>
              <w:lastRenderedPageBreak/>
              <w:t>29.07.2013 № 644</w:t>
            </w:r>
            <w:r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proofErr w:type="gramEnd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</w:t>
            </w:r>
            <w:r w:rsidR="00597DBE">
              <w:rPr>
                <w:color w:val="333333"/>
                <w:shd w:val="clear" w:color="auto" w:fill="FFFFFF"/>
              </w:rPr>
              <w:t>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8016C6">
        <w:rPr>
          <w:b/>
          <w:color w:val="000000" w:themeColor="text1"/>
        </w:rPr>
        <w:t>13.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187775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18777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5C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предприятия:</w:t>
            </w:r>
          </w:p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14.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8016C6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Сведения о долгосрочных параметрах </w:t>
            </w:r>
            <w:r w:rsidRPr="008016C6">
              <w:rPr>
                <w:color w:val="000000" w:themeColor="text1"/>
              </w:rPr>
              <w:lastRenderedPageBreak/>
              <w:t>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A477B"/>
    <w:rsid w:val="000A6AE3"/>
    <w:rsid w:val="000B6FA1"/>
    <w:rsid w:val="000B7DDC"/>
    <w:rsid w:val="000D3548"/>
    <w:rsid w:val="000D48FE"/>
    <w:rsid w:val="000D78AF"/>
    <w:rsid w:val="000F280E"/>
    <w:rsid w:val="001004B0"/>
    <w:rsid w:val="00101CCE"/>
    <w:rsid w:val="001217E7"/>
    <w:rsid w:val="001243F4"/>
    <w:rsid w:val="001273C8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1F3D3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8B8"/>
    <w:rsid w:val="003722A9"/>
    <w:rsid w:val="003865DB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16D31"/>
    <w:rsid w:val="004212F5"/>
    <w:rsid w:val="00447988"/>
    <w:rsid w:val="00451280"/>
    <w:rsid w:val="00466193"/>
    <w:rsid w:val="00487F44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635D1"/>
    <w:rsid w:val="00591E0C"/>
    <w:rsid w:val="00597DBE"/>
    <w:rsid w:val="005A7E29"/>
    <w:rsid w:val="005B4593"/>
    <w:rsid w:val="005C3BB7"/>
    <w:rsid w:val="005E7FAC"/>
    <w:rsid w:val="0060513F"/>
    <w:rsid w:val="00615E55"/>
    <w:rsid w:val="0063787F"/>
    <w:rsid w:val="00650619"/>
    <w:rsid w:val="00666099"/>
    <w:rsid w:val="00672EBE"/>
    <w:rsid w:val="006808C9"/>
    <w:rsid w:val="0068794E"/>
    <w:rsid w:val="00690F69"/>
    <w:rsid w:val="00697FCA"/>
    <w:rsid w:val="006A2182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923F6"/>
    <w:rsid w:val="007A2EBE"/>
    <w:rsid w:val="007B7845"/>
    <w:rsid w:val="007D111E"/>
    <w:rsid w:val="007D6C0D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D7B64"/>
    <w:rsid w:val="008F46B1"/>
    <w:rsid w:val="009018E9"/>
    <w:rsid w:val="00916275"/>
    <w:rsid w:val="0093074B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24F04"/>
    <w:rsid w:val="00A30986"/>
    <w:rsid w:val="00A32277"/>
    <w:rsid w:val="00A37066"/>
    <w:rsid w:val="00A40F72"/>
    <w:rsid w:val="00A5782E"/>
    <w:rsid w:val="00A57FC7"/>
    <w:rsid w:val="00A64EB8"/>
    <w:rsid w:val="00A6565C"/>
    <w:rsid w:val="00A65CC7"/>
    <w:rsid w:val="00A90201"/>
    <w:rsid w:val="00AA6604"/>
    <w:rsid w:val="00AB1606"/>
    <w:rsid w:val="00AD028F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3509"/>
    <w:rsid w:val="00BF52ED"/>
    <w:rsid w:val="00C13DA7"/>
    <w:rsid w:val="00C41C48"/>
    <w:rsid w:val="00C44EFE"/>
    <w:rsid w:val="00C52FC9"/>
    <w:rsid w:val="00C53A08"/>
    <w:rsid w:val="00C7087C"/>
    <w:rsid w:val="00C959F8"/>
    <w:rsid w:val="00CA15EE"/>
    <w:rsid w:val="00CB6265"/>
    <w:rsid w:val="00D10435"/>
    <w:rsid w:val="00D13057"/>
    <w:rsid w:val="00D16A62"/>
    <w:rsid w:val="00D2213C"/>
    <w:rsid w:val="00D223FB"/>
    <w:rsid w:val="00D31444"/>
    <w:rsid w:val="00D346A0"/>
    <w:rsid w:val="00D356A5"/>
    <w:rsid w:val="00D465D1"/>
    <w:rsid w:val="00D50624"/>
    <w:rsid w:val="00D51F0F"/>
    <w:rsid w:val="00D60D12"/>
    <w:rsid w:val="00D808E2"/>
    <w:rsid w:val="00DB1DBB"/>
    <w:rsid w:val="00DD3CD5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7F6D"/>
    <w:rsid w:val="00F371E9"/>
    <w:rsid w:val="00F4169A"/>
    <w:rsid w:val="00F43CED"/>
    <w:rsid w:val="00F4706C"/>
    <w:rsid w:val="00F636C4"/>
    <w:rsid w:val="00F637A8"/>
    <w:rsid w:val="00F75F3A"/>
    <w:rsid w:val="00F77971"/>
    <w:rsid w:val="00F84E4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  <w:style w:type="paragraph" w:styleId="a7">
    <w:name w:val="Normal (Web)"/>
    <w:basedOn w:val="a"/>
    <w:uiPriority w:val="99"/>
    <w:unhideWhenUsed/>
    <w:rsid w:val="000A6A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AD8C-523F-473E-95B1-2BB134F3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10</cp:revision>
  <cp:lastPrinted>2024-04-18T11:14:00Z</cp:lastPrinted>
  <dcterms:created xsi:type="dcterms:W3CDTF">2025-04-18T05:41:00Z</dcterms:created>
  <dcterms:modified xsi:type="dcterms:W3CDTF">2025-08-21T06:46:00Z</dcterms:modified>
</cp:coreProperties>
</file>